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Layout"/>
        <w:tblW w:w="0" w:type="auto"/>
        <w:jc w:val="center"/>
        <w:tblLayout w:type="fixed"/>
        <w:tblLook w:val="04A0" w:firstRow="1" w:lastRow="0" w:firstColumn="1" w:lastColumn="0" w:noHBand="0" w:noVBand="1"/>
        <w:tblDescription w:val="Brochure layout table page 1"/>
      </w:tblPr>
      <w:tblGrid>
        <w:gridCol w:w="3797"/>
        <w:gridCol w:w="43"/>
        <w:gridCol w:w="661"/>
        <w:gridCol w:w="52"/>
        <w:gridCol w:w="652"/>
        <w:gridCol w:w="3800"/>
        <w:gridCol w:w="625"/>
        <w:gridCol w:w="3893"/>
      </w:tblGrid>
      <w:tr w:rsidR="00FB571B" w:rsidTr="00062ED0">
        <w:trPr>
          <w:trHeight w:hRule="exact" w:val="10894"/>
          <w:jc w:val="center"/>
        </w:trPr>
        <w:tc>
          <w:tcPr>
            <w:tcW w:w="3797" w:type="dxa"/>
          </w:tcPr>
          <w:p w:rsidR="00FB571B" w:rsidRDefault="00FB571B">
            <w:r>
              <w:rPr>
                <w:noProof/>
                <w:lang w:eastAsia="en-US"/>
              </w:rPr>
              <w:drawing>
                <wp:inline distT="0" distB="0" distL="0" distR="0" wp14:anchorId="3C4FB6B5" wp14:editId="59211B6A">
                  <wp:extent cx="2755265" cy="1790700"/>
                  <wp:effectExtent l="0" t="0" r="698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mallBusinessBrochure_Back.jpg"/>
                          <pic:cNvPicPr/>
                        </pic:nvPicPr>
                        <pic:blipFill>
                          <a:blip r:embed="rId6">
                            <a:extLst>
                              <a:ext uri="{28A0092B-C50C-407E-A947-70E740481C1C}">
                                <a14:useLocalDpi xmlns:a14="http://schemas.microsoft.com/office/drawing/2010/main" val="0"/>
                              </a:ext>
                            </a:extLst>
                          </a:blip>
                          <a:stretch>
                            <a:fillRect/>
                          </a:stretch>
                        </pic:blipFill>
                        <pic:spPr>
                          <a:xfrm>
                            <a:off x="0" y="0"/>
                            <a:ext cx="2764035" cy="1796400"/>
                          </a:xfrm>
                          <a:prstGeom prst="rect">
                            <a:avLst/>
                          </a:prstGeom>
                        </pic:spPr>
                      </pic:pic>
                    </a:graphicData>
                  </a:graphic>
                </wp:inline>
              </w:drawing>
            </w:r>
          </w:p>
          <w:p w:rsidR="00E2440D" w:rsidRDefault="00E2440D" w:rsidP="003D70EA">
            <w:pPr>
              <w:rPr>
                <w:b/>
                <w:sz w:val="24"/>
              </w:rPr>
            </w:pPr>
          </w:p>
          <w:p w:rsidR="003D70EA" w:rsidRPr="003D70EA" w:rsidRDefault="003D70EA" w:rsidP="003D70EA">
            <w:pPr>
              <w:rPr>
                <w:b/>
                <w:sz w:val="24"/>
              </w:rPr>
            </w:pPr>
            <w:r w:rsidRPr="003D70EA">
              <w:rPr>
                <w:b/>
                <w:sz w:val="24"/>
              </w:rPr>
              <w:t xml:space="preserve">Does your school offer dual </w:t>
            </w:r>
            <w:bookmarkStart w:id="0" w:name="_GoBack"/>
            <w:bookmarkEnd w:id="0"/>
            <w:r w:rsidRPr="003D70EA">
              <w:rPr>
                <w:b/>
                <w:sz w:val="24"/>
              </w:rPr>
              <w:t>enrollment?</w:t>
            </w:r>
          </w:p>
          <w:p w:rsidR="00E2440D" w:rsidRDefault="00E2440D">
            <w:pPr>
              <w:rPr>
                <w:sz w:val="22"/>
              </w:rPr>
            </w:pPr>
          </w:p>
          <w:p w:rsidR="00FB571B" w:rsidRDefault="006F3883">
            <w:pPr>
              <w:rPr>
                <w:sz w:val="22"/>
              </w:rPr>
            </w:pPr>
            <w:r w:rsidRPr="006F3883">
              <w:rPr>
                <w:sz w:val="22"/>
              </w:rPr>
              <w:t>Visit your high school’s office today and ask for information about the school’s dual enrollment program.  Colleges often have someone who will help you through the process of signing up and scheduling classes.  Make the decision to get ahead for the future, today!</w:t>
            </w:r>
          </w:p>
          <w:p w:rsidR="0099269B" w:rsidRDefault="0099269B">
            <w:pPr>
              <w:rPr>
                <w:sz w:val="22"/>
              </w:rPr>
            </w:pPr>
          </w:p>
          <w:tbl>
            <w:tblPr>
              <w:tblpPr w:leftFromText="180" w:rightFromText="180" w:vertAnchor="text" w:horzAnchor="margin" w:tblpY="2332"/>
              <w:tblOverlap w:val="never"/>
              <w:tblW w:w="4281" w:type="pct"/>
              <w:tblLayout w:type="fixed"/>
              <w:tblCellMar>
                <w:left w:w="0" w:type="dxa"/>
                <w:right w:w="0" w:type="dxa"/>
              </w:tblCellMar>
              <w:tblLook w:val="04A0" w:firstRow="1" w:lastRow="0" w:firstColumn="1" w:lastColumn="0" w:noHBand="0" w:noVBand="1"/>
            </w:tblPr>
            <w:tblGrid>
              <w:gridCol w:w="3251"/>
            </w:tblGrid>
            <w:tr w:rsidR="0099269B" w:rsidTr="0099269B">
              <w:trPr>
                <w:trHeight w:val="256"/>
              </w:trPr>
              <w:tc>
                <w:tcPr>
                  <w:tcW w:w="5000" w:type="pct"/>
                  <w:vAlign w:val="center"/>
                </w:tcPr>
                <w:p w:rsidR="0099269B" w:rsidRPr="000B5B8B" w:rsidRDefault="0099269B" w:rsidP="0099269B">
                  <w:pPr>
                    <w:pStyle w:val="NoSpacing"/>
                    <w:rPr>
                      <w:sz w:val="22"/>
                    </w:rPr>
                  </w:pPr>
                  <w:r w:rsidRPr="000B5B8B">
                    <w:rPr>
                      <w:sz w:val="22"/>
                    </w:rPr>
                    <w:t xml:space="preserve">Contact us </w:t>
                  </w:r>
                </w:p>
                <w:p w:rsidR="0099269B" w:rsidRPr="000B5B8B" w:rsidRDefault="0099269B" w:rsidP="0099269B">
                  <w:pPr>
                    <w:pStyle w:val="NoSpacing"/>
                    <w:rPr>
                      <w:sz w:val="22"/>
                    </w:rPr>
                  </w:pPr>
                  <w:r w:rsidRPr="000B5B8B">
                    <w:rPr>
                      <w:sz w:val="22"/>
                    </w:rPr>
                    <w:t>Phone: 570-456-3876</w:t>
                  </w:r>
                </w:p>
                <w:p w:rsidR="0099269B" w:rsidRDefault="0099269B" w:rsidP="0099269B">
                  <w:pPr>
                    <w:pStyle w:val="NoSpacing"/>
                  </w:pPr>
                  <w:r w:rsidRPr="000B5B8B">
                    <w:rPr>
                      <w:sz w:val="22"/>
                    </w:rPr>
                    <w:t>Email: dual@enrollment.com</w:t>
                  </w:r>
                </w:p>
              </w:tc>
            </w:tr>
          </w:tbl>
          <w:p w:rsidR="0099269B" w:rsidRDefault="0099269B" w:rsidP="0099269B">
            <w:pPr>
              <w:pStyle w:val="BlockText"/>
              <w:rPr>
                <w:sz w:val="18"/>
              </w:rPr>
            </w:pPr>
            <w:r w:rsidRPr="006C5EC7">
              <w:rPr>
                <w:sz w:val="18"/>
              </w:rPr>
              <w:t>The experience definitely helped me transition into becoming a full time college student. The difficulty of the classes and time management skills that I learned while at Bloom help me get used to what was required to succeed at PSU. Also having to act more professional in regards to interacting with professors and other students was a valuable skill that I continue to use. Honestly though, the best part was getting college credit for practically nothing. With the combination of the ACE program and AP classes I ended up coming to PSU with 26 credits. I'm doing a double major and because of those credits I'm on trac</w:t>
            </w:r>
            <w:r>
              <w:rPr>
                <w:sz w:val="18"/>
              </w:rPr>
              <w:t>k to graduate a semester early.  – Former ACE Student</w:t>
            </w:r>
          </w:p>
          <w:p w:rsidR="0099269B" w:rsidRDefault="0099269B" w:rsidP="0099269B">
            <w:pPr>
              <w:pStyle w:val="BlockText"/>
              <w:rPr>
                <w:sz w:val="18"/>
              </w:rPr>
            </w:pPr>
            <w:r w:rsidRPr="006C5EC7">
              <w:rPr>
                <w:sz w:val="18"/>
              </w:rPr>
              <w:t>The experience definitely helped me transition into becoming a full time college student. The difficulty of the classes and time management skills that I learned while at Bloom help me get used to what was required to succeed at PSU. Also having to act more professional in regards to interacting with professors and other students was a valuable skill that I continue to use. Honestly though, the best part was getting college credit for practically nothing. With the combination of the ACE program and AP classes I ended up coming to PSU with 26 credits. I'm doing a double major and because of those credits I'm on trac</w:t>
            </w:r>
            <w:r>
              <w:rPr>
                <w:sz w:val="18"/>
              </w:rPr>
              <w:t>k to graduate a semester early.  – Former ACE Student</w:t>
            </w:r>
          </w:p>
          <w:p w:rsidR="0099269B" w:rsidRDefault="0099269B">
            <w:pPr>
              <w:rPr>
                <w:b/>
                <w:sz w:val="22"/>
              </w:rPr>
            </w:pPr>
          </w:p>
          <w:p w:rsidR="0099269B" w:rsidRDefault="0099269B" w:rsidP="0099269B">
            <w:pPr>
              <w:pStyle w:val="BlockText"/>
              <w:rPr>
                <w:sz w:val="18"/>
              </w:rPr>
            </w:pPr>
            <w:r w:rsidRPr="006C5EC7">
              <w:rPr>
                <w:sz w:val="18"/>
              </w:rPr>
              <w:t>The experience definitely helped me transition into becoming a full time college student. The difficulty of the classes and time management skills that I learned while at Bloom help me get used to what was required to succeed at PSU. Also having to act more professional in regards to interacting with professors and other students was a valuable skill that I continue to use. Honestly though, the best part was getting college credit for practically nothing. With the combination of the ACE program and AP classes I ended up coming to PSU with 26 credits. I'm doing a double major and because of those credits I'm on trac</w:t>
            </w:r>
            <w:r>
              <w:rPr>
                <w:sz w:val="18"/>
              </w:rPr>
              <w:t>k to graduate a semester early.  – Former ACE Student</w:t>
            </w:r>
          </w:p>
          <w:p w:rsidR="000B5B8B" w:rsidRPr="000B5B8B" w:rsidRDefault="000B5B8B">
            <w:pPr>
              <w:rPr>
                <w:sz w:val="22"/>
              </w:rPr>
            </w:pPr>
          </w:p>
          <w:p w:rsidR="00FB571B" w:rsidRDefault="00FB571B" w:rsidP="006F3883">
            <w:pPr>
              <w:pStyle w:val="ListBullet"/>
              <w:numPr>
                <w:ilvl w:val="0"/>
                <w:numId w:val="0"/>
              </w:numPr>
              <w:ind w:left="288"/>
            </w:pPr>
          </w:p>
        </w:tc>
        <w:tc>
          <w:tcPr>
            <w:tcW w:w="704" w:type="dxa"/>
            <w:gridSpan w:val="2"/>
          </w:tcPr>
          <w:p w:rsidR="00FB571B" w:rsidRDefault="00FB571B"/>
        </w:tc>
        <w:tc>
          <w:tcPr>
            <w:tcW w:w="704" w:type="dxa"/>
            <w:gridSpan w:val="2"/>
          </w:tcPr>
          <w:p w:rsidR="00FB571B" w:rsidRDefault="00FB571B"/>
        </w:tc>
        <w:tc>
          <w:tcPr>
            <w:tcW w:w="3800" w:type="dxa"/>
          </w:tcPr>
          <w:tbl>
            <w:tblPr>
              <w:tblStyle w:val="TableLayout"/>
              <w:tblW w:w="4875" w:type="pct"/>
              <w:tblLayout w:type="fixed"/>
              <w:tblLook w:val="04A0" w:firstRow="1" w:lastRow="0" w:firstColumn="1" w:lastColumn="0" w:noHBand="0" w:noVBand="1"/>
            </w:tblPr>
            <w:tblGrid>
              <w:gridCol w:w="3705"/>
            </w:tblGrid>
            <w:tr w:rsidR="00FB571B" w:rsidTr="00E2440D">
              <w:trPr>
                <w:trHeight w:hRule="exact" w:val="11070"/>
              </w:trPr>
              <w:tc>
                <w:tcPr>
                  <w:tcW w:w="5000" w:type="pct"/>
                </w:tcPr>
                <w:p w:rsidR="00FB571B" w:rsidRDefault="003D70EA">
                  <w:pPr>
                    <w:pStyle w:val="Heading1"/>
                  </w:pPr>
                  <w:r>
                    <w:t>What it does for you</w:t>
                  </w:r>
                </w:p>
                <w:p w:rsidR="00FB571B" w:rsidRPr="006F3883" w:rsidRDefault="003D70EA">
                  <w:pPr>
                    <w:pStyle w:val="Heading2"/>
                    <w:rPr>
                      <w:sz w:val="28"/>
                    </w:rPr>
                  </w:pPr>
                  <w:r w:rsidRPr="006F3883">
                    <w:rPr>
                      <w:sz w:val="28"/>
                    </w:rPr>
                    <w:t>About</w:t>
                  </w:r>
                </w:p>
                <w:p w:rsidR="00FB571B" w:rsidRPr="006F3883" w:rsidRDefault="003D70EA" w:rsidP="003D70EA">
                  <w:pPr>
                    <w:rPr>
                      <w:sz w:val="22"/>
                    </w:rPr>
                  </w:pPr>
                  <w:r w:rsidRPr="006F3883">
                    <w:rPr>
                      <w:sz w:val="22"/>
                    </w:rPr>
                    <w:t xml:space="preserve">These classes allow students to take college classes in high school and earn credits for both high school and college.  “Since dual enrollment can increase the intensity and rigor of the high school curriculum, challenging students through these programs could lead to high levels of college success.”  - College </w:t>
                  </w:r>
                  <w:proofErr w:type="gramStart"/>
                  <w:r w:rsidRPr="006F3883">
                    <w:rPr>
                      <w:sz w:val="22"/>
                    </w:rPr>
                    <w:t>Researchers  Bailey</w:t>
                  </w:r>
                  <w:proofErr w:type="gramEnd"/>
                  <w:r w:rsidRPr="006F3883">
                    <w:rPr>
                      <w:sz w:val="22"/>
                    </w:rPr>
                    <w:t xml:space="preserve"> Thomas, Katherine Hughes, and Melinda Karp.</w:t>
                  </w:r>
                </w:p>
                <w:p w:rsidR="0099269B" w:rsidRDefault="0099269B" w:rsidP="0099269B">
                  <w:pPr>
                    <w:rPr>
                      <w:b/>
                      <w:sz w:val="24"/>
                    </w:rPr>
                  </w:pPr>
                  <w:r w:rsidRPr="0099269B">
                    <w:rPr>
                      <w:b/>
                      <w:sz w:val="24"/>
                    </w:rPr>
                    <w:t>Words from a real student</w:t>
                  </w:r>
                </w:p>
                <w:p w:rsidR="0099269B" w:rsidRPr="0099269B" w:rsidRDefault="0099269B" w:rsidP="0099269B">
                  <w:pPr>
                    <w:rPr>
                      <w:b/>
                      <w:sz w:val="24"/>
                    </w:rPr>
                  </w:pPr>
                  <w:r w:rsidRPr="0099269B">
                    <w:t>The experience definitely helped me transition into becoming a full time college student. The difficulty of the classes and time management skills that I learned while at Bloom help me get used to what was required to succeed at PSU. Also having to act more professional in regards to interacting with professors and other students was a valuable skill that I continue to use. Honestly though, the best part was getting college credit for practically nothing. With the combination of the ACE program and AP classes I ended up coming to PSU with 26 credits. I'm doing a double major and because of those credits I'm on track to graduate a semester early.  – Former ACE Student</w:t>
                  </w:r>
                </w:p>
                <w:p w:rsidR="0099269B" w:rsidRPr="0099269B" w:rsidRDefault="0099269B">
                  <w:pPr>
                    <w:rPr>
                      <w:b/>
                      <w:sz w:val="22"/>
                    </w:rPr>
                  </w:pPr>
                </w:p>
              </w:tc>
            </w:tr>
            <w:tr w:rsidR="00FB571B" w:rsidTr="00E2440D">
              <w:trPr>
                <w:trHeight w:hRule="exact" w:val="3075"/>
              </w:trPr>
              <w:tc>
                <w:tcPr>
                  <w:tcW w:w="5000" w:type="pct"/>
                  <w:vAlign w:val="bottom"/>
                </w:tcPr>
                <w:p w:rsidR="00FB571B" w:rsidRDefault="00FB571B"/>
              </w:tc>
            </w:tr>
          </w:tbl>
          <w:p w:rsidR="00FB571B" w:rsidRDefault="00FB571B"/>
        </w:tc>
        <w:tc>
          <w:tcPr>
            <w:tcW w:w="625" w:type="dxa"/>
          </w:tcPr>
          <w:p w:rsidR="00FB571B" w:rsidRDefault="00FB571B"/>
        </w:tc>
        <w:tc>
          <w:tcPr>
            <w:tcW w:w="3893" w:type="dxa"/>
          </w:tcPr>
          <w:tbl>
            <w:tblPr>
              <w:tblStyle w:val="TableLayout"/>
              <w:tblW w:w="5000" w:type="pct"/>
              <w:tblLayout w:type="fixed"/>
              <w:tblLook w:val="04A0" w:firstRow="1" w:lastRow="0" w:firstColumn="1" w:lastColumn="0" w:noHBand="0" w:noVBand="1"/>
            </w:tblPr>
            <w:tblGrid>
              <w:gridCol w:w="3893"/>
            </w:tblGrid>
            <w:tr w:rsidR="00FB571B" w:rsidTr="00717635">
              <w:trPr>
                <w:trHeight w:hRule="exact" w:val="5354"/>
              </w:trPr>
              <w:tc>
                <w:tcPr>
                  <w:tcW w:w="5000" w:type="pct"/>
                </w:tcPr>
                <w:p w:rsidR="00FB571B" w:rsidRDefault="00717635">
                  <w:r>
                    <w:rPr>
                      <w:noProof/>
                      <w:lang w:eastAsia="en-US"/>
                    </w:rPr>
                    <w:drawing>
                      <wp:anchor distT="0" distB="0" distL="114300" distR="114300" simplePos="0" relativeHeight="251658240" behindDoc="0" locked="0" layoutInCell="1" allowOverlap="1" wp14:anchorId="42CC54E6" wp14:editId="33E1DB8A">
                        <wp:simplePos x="0" y="0"/>
                        <wp:positionH relativeFrom="column">
                          <wp:posOffset>-40640</wp:posOffset>
                        </wp:positionH>
                        <wp:positionV relativeFrom="paragraph">
                          <wp:posOffset>104775</wp:posOffset>
                        </wp:positionV>
                        <wp:extent cx="2476500" cy="3372017"/>
                        <wp:effectExtent l="0" t="0" r="0" b="0"/>
                        <wp:wrapNone/>
                        <wp:docPr id="2" name="Picture 2" descr="C:\Users\17tpeace\Pictures\students-walking-away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7tpeace\Pictures\students-walking-away800.jpg"/>
                                <pic:cNvPicPr>
                                  <a:picLocks noChangeAspect="1" noChangeArrowheads="1"/>
                                </pic:cNvPicPr>
                              </pic:nvPicPr>
                              <pic:blipFill rotWithShape="1">
                                <a:blip r:embed="rId7">
                                  <a:extLst>
                                    <a:ext uri="{28A0092B-C50C-407E-A947-70E740481C1C}">
                                      <a14:useLocalDpi xmlns:a14="http://schemas.microsoft.com/office/drawing/2010/main" val="0"/>
                                    </a:ext>
                                  </a:extLst>
                                </a:blip>
                                <a:srcRect l="20280" t="-595" r="18091" b="1188"/>
                                <a:stretch/>
                              </pic:blipFill>
                              <pic:spPr bwMode="auto">
                                <a:xfrm>
                                  <a:off x="0" y="0"/>
                                  <a:ext cx="2479270" cy="337578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B571B" w:rsidRDefault="00FB571B"/>
              </w:tc>
            </w:tr>
            <w:tr w:rsidR="00FB571B" w:rsidTr="00717635">
              <w:trPr>
                <w:trHeight w:hRule="exact" w:val="576"/>
              </w:trPr>
              <w:tc>
                <w:tcPr>
                  <w:tcW w:w="5000" w:type="pct"/>
                </w:tcPr>
                <w:p w:rsidR="00FB571B" w:rsidRDefault="00FB571B"/>
              </w:tc>
            </w:tr>
            <w:tr w:rsidR="00FB571B" w:rsidTr="00062ED0">
              <w:trPr>
                <w:trHeight w:hRule="exact" w:val="3267"/>
              </w:trPr>
              <w:sdt>
                <w:sdtPr>
                  <w:alias w:val="Company"/>
                  <w:tag w:val=""/>
                  <w:id w:val="1274751255"/>
                  <w:placeholder>
                    <w:docPart w:val="851FF137E47541299AAB649F531B4BE2"/>
                  </w:placeholder>
                  <w:dataBinding w:prefixMappings="xmlns:ns0='http://schemas.openxmlformats.org/officeDocument/2006/extended-properties' " w:xpath="/ns0:Properties[1]/ns0:Company[1]" w:storeItemID="{6668398D-A668-4E3E-A5EB-62B293D839F1}"/>
                  <w:text/>
                </w:sdtPr>
                <w:sdtEndPr/>
                <w:sdtContent>
                  <w:tc>
                    <w:tcPr>
                      <w:tcW w:w="5000" w:type="pct"/>
                      <w:shd w:val="clear" w:color="auto" w:fill="C45238" w:themeFill="accent1"/>
                    </w:tcPr>
                    <w:p w:rsidR="00FB571B" w:rsidRDefault="00E46F0D" w:rsidP="00062ED0">
                      <w:pPr>
                        <w:pStyle w:val="Title"/>
                      </w:pPr>
                      <w:r>
                        <w:t>Dual Enrollment Working For You</w:t>
                      </w:r>
                    </w:p>
                  </w:tc>
                </w:sdtContent>
              </w:sdt>
            </w:tr>
            <w:tr w:rsidR="00FB571B" w:rsidTr="00062ED0">
              <w:trPr>
                <w:trHeight w:hRule="exact" w:val="1183"/>
              </w:trPr>
              <w:tc>
                <w:tcPr>
                  <w:tcW w:w="5000" w:type="pct"/>
                  <w:tcBorders>
                    <w:left w:val="single" w:sz="4" w:space="0" w:color="auto"/>
                  </w:tcBorders>
                  <w:shd w:val="clear" w:color="auto" w:fill="C45238" w:themeFill="accent1"/>
                  <w:vAlign w:val="bottom"/>
                </w:tcPr>
                <w:p w:rsidR="00FB571B" w:rsidRPr="005F0274" w:rsidRDefault="00921B12" w:rsidP="00062ED0">
                  <w:pPr>
                    <w:pStyle w:val="Subtitle"/>
                    <w:ind w:left="0"/>
                    <w:rPr>
                      <w:sz w:val="18"/>
                      <w:szCs w:val="18"/>
                    </w:rPr>
                  </w:pPr>
                  <w:r>
                    <w:rPr>
                      <w:szCs w:val="18"/>
                    </w:rPr>
                    <w:t xml:space="preserve">    </w:t>
                  </w:r>
                  <w:r w:rsidR="00E46F0D" w:rsidRPr="005F0274">
                    <w:rPr>
                      <w:szCs w:val="18"/>
                    </w:rPr>
                    <w:t>Save time, money, and eff</w:t>
                  </w:r>
                  <w:r w:rsidR="005F0274" w:rsidRPr="005F0274">
                    <w:rPr>
                      <w:szCs w:val="18"/>
                    </w:rPr>
                    <w:t xml:space="preserve">ort </w:t>
                  </w:r>
                  <w:r w:rsidR="00E46F0D" w:rsidRPr="005F0274">
                    <w:rPr>
                      <w:szCs w:val="18"/>
                    </w:rPr>
                    <w:t>while in school!</w:t>
                  </w:r>
                </w:p>
              </w:tc>
            </w:tr>
            <w:tr w:rsidR="00717635" w:rsidTr="00717635">
              <w:trPr>
                <w:trHeight w:hRule="exact" w:val="1451"/>
              </w:trPr>
              <w:tc>
                <w:tcPr>
                  <w:tcW w:w="5000" w:type="pct"/>
                  <w:shd w:val="clear" w:color="auto" w:fill="C45238" w:themeFill="accent1"/>
                  <w:vAlign w:val="bottom"/>
                </w:tcPr>
                <w:p w:rsidR="00717635" w:rsidRDefault="00717635" w:rsidP="00E46F0D">
                  <w:pPr>
                    <w:pStyle w:val="Subtitle"/>
                    <w:ind w:left="0"/>
                  </w:pPr>
                </w:p>
              </w:tc>
            </w:tr>
          </w:tbl>
          <w:p w:rsidR="00FB571B" w:rsidRDefault="00FB571B"/>
        </w:tc>
      </w:tr>
      <w:tr w:rsidR="00FB571B" w:rsidTr="00FB571B">
        <w:trPr>
          <w:gridAfter w:val="4"/>
          <w:wAfter w:w="8970" w:type="dxa"/>
          <w:trHeight w:hRule="exact" w:val="10800"/>
          <w:jc w:val="center"/>
        </w:trPr>
        <w:tc>
          <w:tcPr>
            <w:tcW w:w="3840" w:type="dxa"/>
            <w:gridSpan w:val="2"/>
          </w:tcPr>
          <w:p w:rsidR="00FB571B" w:rsidRDefault="00FB571B"/>
        </w:tc>
        <w:tc>
          <w:tcPr>
            <w:tcW w:w="713" w:type="dxa"/>
            <w:gridSpan w:val="2"/>
          </w:tcPr>
          <w:p w:rsidR="00FB571B" w:rsidRDefault="00FB571B"/>
        </w:tc>
      </w:tr>
    </w:tbl>
    <w:p w:rsidR="00564711" w:rsidRDefault="00564711" w:rsidP="0099269B">
      <w:pPr>
        <w:pStyle w:val="NoSpacing"/>
      </w:pPr>
    </w:p>
    <w:sectPr w:rsidR="00564711">
      <w:pgSz w:w="15840" w:h="12240" w:orient="landscape" w:code="1"/>
      <w:pgMar w:top="720"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A1242E4"/>
    <w:lvl w:ilvl="0">
      <w:start w:val="1"/>
      <w:numFmt w:val="bullet"/>
      <w:pStyle w:val="ListBullet"/>
      <w:lvlText w:val=""/>
      <w:lvlJc w:val="left"/>
      <w:pPr>
        <w:tabs>
          <w:tab w:val="num" w:pos="288"/>
        </w:tabs>
        <w:ind w:left="288" w:hanging="288"/>
      </w:pPr>
      <w:rPr>
        <w:rFonts w:ascii="Symbol" w:hAnsi="Symbol" w:hint="default"/>
        <w:color w:val="352F25" w:themeColor="text2"/>
        <w:sz w:val="16"/>
      </w:rPr>
    </w:lvl>
  </w:abstractNum>
  <w:num w:numId="1">
    <w:abstractNumId w:val="0"/>
  </w:num>
  <w:num w:numId="2">
    <w:abstractNumId w:val="0"/>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71B"/>
    <w:rsid w:val="00062ED0"/>
    <w:rsid w:val="000B5B8B"/>
    <w:rsid w:val="001D7BDB"/>
    <w:rsid w:val="003D70EA"/>
    <w:rsid w:val="00564711"/>
    <w:rsid w:val="005F0274"/>
    <w:rsid w:val="006F3883"/>
    <w:rsid w:val="00717635"/>
    <w:rsid w:val="008C2590"/>
    <w:rsid w:val="00921B12"/>
    <w:rsid w:val="0099269B"/>
    <w:rsid w:val="00E2440D"/>
    <w:rsid w:val="00E46F0D"/>
    <w:rsid w:val="00EF68E1"/>
    <w:rsid w:val="00FB571B"/>
    <w:rsid w:val="00FC2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5388A590-DCF6-4A1F-B9AC-E4A2FE6BC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D4436" w:themeColor="text2" w:themeTint="E6"/>
        <w:sz w:val="18"/>
        <w:lang w:val="en-US" w:eastAsia="ja-JP" w:bidi="ar-SA"/>
      </w:rPr>
    </w:rPrDefault>
    <w:pPrDefault>
      <w:pPr>
        <w:spacing w:after="18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 w:unhideWhenUsed="1" w:qFormat="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40" w:lineRule="auto"/>
      <w:outlineLvl w:val="0"/>
    </w:pPr>
    <w:rPr>
      <w:rFonts w:asciiTheme="majorHAnsi" w:eastAsiaTheme="majorEastAsia" w:hAnsiTheme="majorHAnsi" w:cstheme="majorBidi"/>
      <w:b/>
      <w:bCs/>
      <w:color w:val="C45238" w:themeColor="accent1"/>
      <w:sz w:val="32"/>
    </w:rPr>
  </w:style>
  <w:style w:type="paragraph" w:styleId="Heading2">
    <w:name w:val="heading 2"/>
    <w:basedOn w:val="Normal"/>
    <w:next w:val="Normal"/>
    <w:link w:val="Heading2Char"/>
    <w:uiPriority w:val="1"/>
    <w:unhideWhenUsed/>
    <w:qFormat/>
    <w:pPr>
      <w:keepNext/>
      <w:keepLines/>
      <w:spacing w:before="360" w:after="120" w:line="240" w:lineRule="auto"/>
      <w:outlineLvl w:val="1"/>
    </w:pPr>
    <w:rPr>
      <w:rFonts w:asciiTheme="majorHAnsi" w:eastAsiaTheme="majorEastAsia" w:hAnsiTheme="majorHAnsi" w:cstheme="majorBidi"/>
      <w:b/>
      <w:bCs/>
      <w:color w:val="352F25" w:themeColor="text2"/>
      <w:sz w:val="22"/>
    </w:rPr>
  </w:style>
  <w:style w:type="paragraph" w:styleId="Heading3">
    <w:name w:val="heading 3"/>
    <w:basedOn w:val="Normal"/>
    <w:next w:val="Normal"/>
    <w:link w:val="Heading3Char"/>
    <w:uiPriority w:val="9"/>
    <w:semiHidden/>
    <w:unhideWhenUsed/>
    <w:qFormat/>
    <w:pPr>
      <w:keepNext/>
      <w:keepLines/>
      <w:spacing w:before="200" w:after="0"/>
      <w:outlineLvl w:val="2"/>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ayout">
    <w:name w:val="Table Layout"/>
    <w:basedOn w:val="TableNormal"/>
    <w:uiPriority w:val="99"/>
    <w:tblPr>
      <w:tblCellMar>
        <w:left w:w="0" w:type="dxa"/>
        <w:right w:w="0" w:type="dxa"/>
      </w:tblCellMar>
    </w:tblPr>
  </w:style>
  <w:style w:type="paragraph" w:styleId="Caption">
    <w:name w:val="caption"/>
    <w:basedOn w:val="Normal"/>
    <w:next w:val="Normal"/>
    <w:uiPriority w:val="2"/>
    <w:unhideWhenUsed/>
    <w:qFormat/>
    <w:pPr>
      <w:spacing w:after="340" w:line="240" w:lineRule="auto"/>
    </w:pPr>
    <w:rPr>
      <w:i/>
      <w:iCs/>
      <w:sz w:val="14"/>
    </w:rPr>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352F25" w:themeColor="text2"/>
      <w:sz w:val="22"/>
    </w:rPr>
  </w:style>
  <w:style w:type="character" w:styleId="PlaceholderText">
    <w:name w:val="Placeholder Text"/>
    <w:basedOn w:val="DefaultParagraphFont"/>
    <w:uiPriority w:val="99"/>
    <w:semiHidden/>
    <w:rPr>
      <w:color w:val="808080"/>
    </w:rPr>
  </w:style>
  <w:style w:type="paragraph" w:styleId="ListBullet">
    <w:name w:val="List Bullet"/>
    <w:basedOn w:val="Normal"/>
    <w:uiPriority w:val="1"/>
    <w:unhideWhenUsed/>
    <w:qFormat/>
    <w:pPr>
      <w:numPr>
        <w:numId w:val="2"/>
      </w:numPr>
    </w:pPr>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C45238" w:themeColor="accent1"/>
      <w:sz w:val="32"/>
    </w:rPr>
  </w:style>
  <w:style w:type="paragraph" w:customStyle="1" w:styleId="Company">
    <w:name w:val="Company"/>
    <w:basedOn w:val="Normal"/>
    <w:uiPriority w:val="2"/>
    <w:qFormat/>
    <w:pPr>
      <w:spacing w:after="0" w:line="240" w:lineRule="auto"/>
    </w:pPr>
    <w:rPr>
      <w:rFonts w:asciiTheme="majorHAnsi" w:eastAsiaTheme="majorEastAsia" w:hAnsiTheme="majorHAnsi" w:cstheme="majorBidi"/>
      <w:b/>
      <w:bCs/>
      <w:color w:val="C45238" w:themeColor="accent1"/>
    </w:rPr>
  </w:style>
  <w:style w:type="paragraph" w:styleId="Footer">
    <w:name w:val="footer"/>
    <w:basedOn w:val="Normal"/>
    <w:link w:val="FooterChar"/>
    <w:uiPriority w:val="2"/>
    <w:unhideWhenUsed/>
    <w:qFormat/>
    <w:pPr>
      <w:tabs>
        <w:tab w:val="center" w:pos="4680"/>
        <w:tab w:val="right" w:pos="9360"/>
      </w:tabs>
      <w:spacing w:after="0" w:line="276" w:lineRule="auto"/>
    </w:pPr>
    <w:rPr>
      <w:sz w:val="17"/>
    </w:rPr>
  </w:style>
  <w:style w:type="character" w:customStyle="1" w:styleId="FooterChar">
    <w:name w:val="Footer Char"/>
    <w:basedOn w:val="DefaultParagraphFont"/>
    <w:link w:val="Footer"/>
    <w:uiPriority w:val="2"/>
    <w:rPr>
      <w:rFonts w:asciiTheme="minorHAnsi" w:eastAsiaTheme="minorEastAsia" w:hAnsiTheme="minorHAnsi" w:cstheme="minorBidi"/>
      <w:sz w:val="17"/>
    </w:rPr>
  </w:style>
  <w:style w:type="paragraph" w:styleId="Title">
    <w:name w:val="Title"/>
    <w:basedOn w:val="Normal"/>
    <w:next w:val="Normal"/>
    <w:link w:val="TitleChar"/>
    <w:uiPriority w:val="1"/>
    <w:qFormat/>
    <w:pPr>
      <w:spacing w:before="320" w:after="0" w:line="240" w:lineRule="auto"/>
      <w:ind w:left="288" w:right="288"/>
      <w:contextualSpacing/>
    </w:pPr>
    <w:rPr>
      <w:rFonts w:asciiTheme="majorHAnsi" w:eastAsiaTheme="majorEastAsia" w:hAnsiTheme="majorHAnsi" w:cstheme="majorBidi"/>
      <w:color w:val="FFFFFF" w:themeColor="background1"/>
      <w:kern w:val="28"/>
      <w:sz w:val="60"/>
    </w:rPr>
  </w:style>
  <w:style w:type="character" w:customStyle="1" w:styleId="TitleChar">
    <w:name w:val="Title Char"/>
    <w:basedOn w:val="DefaultParagraphFont"/>
    <w:link w:val="Title"/>
    <w:uiPriority w:val="1"/>
    <w:rPr>
      <w:rFonts w:asciiTheme="majorHAnsi" w:eastAsiaTheme="majorEastAsia" w:hAnsiTheme="majorHAnsi" w:cstheme="majorBidi"/>
      <w:color w:val="FFFFFF" w:themeColor="background1"/>
      <w:kern w:val="28"/>
      <w:sz w:val="60"/>
    </w:rPr>
  </w:style>
  <w:style w:type="paragraph" w:styleId="Subtitle">
    <w:name w:val="Subtitle"/>
    <w:basedOn w:val="Normal"/>
    <w:next w:val="Normal"/>
    <w:link w:val="SubtitleChar"/>
    <w:uiPriority w:val="1"/>
    <w:qFormat/>
    <w:pPr>
      <w:numPr>
        <w:ilvl w:val="1"/>
      </w:numPr>
      <w:spacing w:after="360" w:line="264" w:lineRule="auto"/>
      <w:ind w:left="288" w:right="288"/>
    </w:pPr>
    <w:rPr>
      <w:i/>
      <w:iCs/>
      <w:color w:val="FFFFFF" w:themeColor="background1"/>
      <w:sz w:val="24"/>
    </w:rPr>
  </w:style>
  <w:style w:type="character" w:customStyle="1" w:styleId="SubtitleChar">
    <w:name w:val="Subtitle Char"/>
    <w:basedOn w:val="DefaultParagraphFont"/>
    <w:link w:val="Subtitle"/>
    <w:uiPriority w:val="1"/>
    <w:rPr>
      <w:i/>
      <w:iCs/>
      <w:color w:val="FFFFFF" w:themeColor="background1"/>
      <w:sz w:val="24"/>
    </w:rPr>
  </w:style>
  <w:style w:type="paragraph" w:styleId="NoSpacing">
    <w:name w:val="No Spacing"/>
    <w:uiPriority w:val="99"/>
    <w:qFormat/>
    <w:pPr>
      <w:spacing w:after="0" w:line="240" w:lineRule="auto"/>
    </w:pPr>
  </w:style>
  <w:style w:type="paragraph" w:styleId="Quote">
    <w:name w:val="Quote"/>
    <w:basedOn w:val="Normal"/>
    <w:next w:val="Normal"/>
    <w:link w:val="QuoteChar"/>
    <w:uiPriority w:val="1"/>
    <w:qFormat/>
    <w:pPr>
      <w:pBdr>
        <w:top w:val="single" w:sz="4" w:space="14" w:color="C45238" w:themeColor="accent1"/>
        <w:bottom w:val="single" w:sz="4" w:space="14" w:color="C45238" w:themeColor="accent1"/>
      </w:pBdr>
      <w:spacing w:before="480" w:after="480" w:line="312" w:lineRule="auto"/>
    </w:pPr>
    <w:rPr>
      <w:rFonts w:asciiTheme="majorHAnsi" w:eastAsiaTheme="majorEastAsia" w:hAnsiTheme="majorHAnsi" w:cstheme="majorBidi"/>
      <w:i/>
      <w:iCs/>
      <w:color w:val="C45238" w:themeColor="accent1"/>
      <w:sz w:val="34"/>
    </w:rPr>
  </w:style>
  <w:style w:type="character" w:customStyle="1" w:styleId="QuoteChar">
    <w:name w:val="Quote Char"/>
    <w:basedOn w:val="DefaultParagraphFont"/>
    <w:link w:val="Quote"/>
    <w:uiPriority w:val="1"/>
    <w:rPr>
      <w:rFonts w:asciiTheme="majorHAnsi" w:eastAsiaTheme="majorEastAsia" w:hAnsiTheme="majorHAnsi" w:cstheme="majorBidi"/>
      <w:i/>
      <w:iCs/>
      <w:color w:val="C45238" w:themeColor="accent1"/>
      <w:sz w:val="34"/>
    </w:rPr>
  </w:style>
  <w:style w:type="character" w:customStyle="1" w:styleId="Heading3Char">
    <w:name w:val="Heading 3 Char"/>
    <w:basedOn w:val="DefaultParagraphFont"/>
    <w:link w:val="Heading3"/>
    <w:uiPriority w:val="9"/>
    <w:semiHidden/>
    <w:rPr>
      <w:b/>
      <w:bCs/>
    </w:rPr>
  </w:style>
  <w:style w:type="paragraph" w:styleId="BlockText">
    <w:name w:val="Block Text"/>
    <w:basedOn w:val="Normal"/>
    <w:uiPriority w:val="3"/>
    <w:unhideWhenUsed/>
    <w:qFormat/>
    <w:rsid w:val="0099269B"/>
    <w:pPr>
      <w:spacing w:line="312" w:lineRule="auto"/>
      <w:ind w:left="288" w:right="288"/>
    </w:pPr>
    <w:rPr>
      <w:color w:val="FFFFFF" w:themeColor="background1"/>
      <w:kern w:val="2"/>
      <w:sz w:val="22"/>
      <w14:ligatures w14:val="standar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7tpeace\AppData\Roaming\Microsoft\Templates\Brochure(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51FF137E47541299AAB649F531B4BE2"/>
        <w:category>
          <w:name w:val="General"/>
          <w:gallery w:val="placeholder"/>
        </w:category>
        <w:types>
          <w:type w:val="bbPlcHdr"/>
        </w:types>
        <w:behaviors>
          <w:behavior w:val="content"/>
        </w:behaviors>
        <w:guid w:val="{CF884C06-C5E6-4DC7-9A6F-A49958CD74F1}"/>
      </w:docPartPr>
      <w:docPartBody>
        <w:p w:rsidR="007062F8" w:rsidRDefault="0050449E" w:rsidP="0050449E">
          <w:pPr>
            <w:pStyle w:val="851FF137E47541299AAB649F531B4BE2"/>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49E"/>
    <w:rsid w:val="00083CD4"/>
    <w:rsid w:val="000C68A2"/>
    <w:rsid w:val="00360CD2"/>
    <w:rsid w:val="0050449E"/>
    <w:rsid w:val="00663DEF"/>
    <w:rsid w:val="007062F8"/>
    <w:rsid w:val="00782F08"/>
    <w:rsid w:val="009F4ADB"/>
    <w:rsid w:val="00CC2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02CF78868DD48BBB6E2CE52BA666523">
    <w:name w:val="402CF78868DD48BBB6E2CE52BA666523"/>
  </w:style>
  <w:style w:type="paragraph" w:customStyle="1" w:styleId="851FF137E47541299AAB649F531B4BE2">
    <w:name w:val="851FF137E47541299AAB649F531B4BE2"/>
    <w:rsid w:val="0050449E"/>
  </w:style>
  <w:style w:type="paragraph" w:customStyle="1" w:styleId="84DF903D7BE947549E2B6905DD540B9E">
    <w:name w:val="84DF903D7BE947549E2B6905DD540B9E"/>
    <w:rsid w:val="00663DEF"/>
  </w:style>
  <w:style w:type="paragraph" w:customStyle="1" w:styleId="77E4A8DCA6B7407ABD18D4B4302AF791">
    <w:name w:val="77E4A8DCA6B7407ABD18D4B4302AF791"/>
    <w:rsid w:val="00663D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Small Business Set">
  <a:themeElements>
    <a:clrScheme name="Small Business 2">
      <a:dk1>
        <a:sysClr val="windowText" lastClr="000000"/>
      </a:dk1>
      <a:lt1>
        <a:sysClr val="window" lastClr="FFFFFF"/>
      </a:lt1>
      <a:dk2>
        <a:srgbClr val="352F25"/>
      </a:dk2>
      <a:lt2>
        <a:srgbClr val="EDECEB"/>
      </a:lt2>
      <a:accent1>
        <a:srgbClr val="C45238"/>
      </a:accent1>
      <a:accent2>
        <a:srgbClr val="2A6188"/>
      </a:accent2>
      <a:accent3>
        <a:srgbClr val="E7A623"/>
      </a:accent3>
      <a:accent4>
        <a:srgbClr val="5B883F"/>
      </a:accent4>
      <a:accent5>
        <a:srgbClr val="653D5D"/>
      </a:accent5>
      <a:accent6>
        <a:srgbClr val="D76F23"/>
      </a:accent6>
      <a:hlink>
        <a:srgbClr val="4D4436"/>
      </a:hlink>
      <a:folHlink>
        <a:srgbClr val="933D29"/>
      </a:folHlink>
    </a:clrScheme>
    <a:fontScheme name="Small Business 2">
      <a:majorFont>
        <a:latin typeface="Book Antiqua"/>
        <a:ea typeface=""/>
        <a:cs typeface=""/>
      </a:majorFont>
      <a:minorFont>
        <a:latin typeface="Book Antiqua"/>
        <a:ea typeface=""/>
        <a:cs typeface=""/>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88B251B-11B4-44B2-932F-30F19E515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Brochure(2)</Template>
  <TotalTime>179</TotalTime>
  <Pages>2</Pages>
  <Words>539</Words>
  <Characters>3077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Dual Enrollment Working For You</Company>
  <LinksUpToDate>false</LinksUpToDate>
  <CharactersWithSpaces>3609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Tristan Peace</dc:creator>
  <cp:keywords/>
  <cp:lastModifiedBy>Tristan Peace</cp:lastModifiedBy>
  <cp:revision>5</cp:revision>
  <dcterms:created xsi:type="dcterms:W3CDTF">2015-04-08T12:26:00Z</dcterms:created>
  <dcterms:modified xsi:type="dcterms:W3CDTF">2015-04-09T01:14:00Z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TC029118989991</vt:lpwstr>
  </property>
</Properties>
</file>